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F0" w:rsidRDefault="00FF2AF0" w:rsidP="00FF2A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ПРАВИЛА АКЦИИ </w:t>
      </w:r>
    </w:p>
    <w:p w:rsidR="00FF2AF0" w:rsidRDefault="00FF2AF0" w:rsidP="00FF2A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</w:t>
      </w:r>
      <w:r w:rsidR="000416C7">
        <w:rPr>
          <w:rFonts w:ascii="Times New Roman" w:eastAsia="Calibri" w:hAnsi="Times New Roman" w:cs="Times New Roman"/>
          <w:b/>
        </w:rPr>
        <w:t>Овсянка, сэр</w:t>
      </w:r>
      <w:r>
        <w:rPr>
          <w:rFonts w:ascii="Times New Roman" w:hAnsi="Times New Roman" w:cs="Times New Roman"/>
          <w:b/>
          <w:bCs/>
          <w:color w:val="222222"/>
        </w:rPr>
        <w:t>!</w:t>
      </w:r>
      <w:r w:rsidR="000416C7">
        <w:rPr>
          <w:rFonts w:ascii="Times New Roman" w:hAnsi="Times New Roman" w:cs="Times New Roman"/>
          <w:b/>
          <w:bCs/>
          <w:color w:val="222222"/>
        </w:rPr>
        <w:t>»</w:t>
      </w:r>
      <w:r>
        <w:rPr>
          <w:rFonts w:ascii="Times New Roman" w:hAnsi="Times New Roman" w:cs="Times New Roman"/>
          <w:b/>
          <w:bCs/>
          <w:color w:val="222222"/>
        </w:rPr>
        <w:br/>
      </w:r>
      <w:r>
        <w:rPr>
          <w:rFonts w:ascii="Times New Roman" w:eastAsia="Calibri" w:hAnsi="Times New Roman" w:cs="Times New Roman"/>
          <w:b/>
        </w:rPr>
        <w:t>Продукция «</w:t>
      </w:r>
      <w:r w:rsidR="000416C7">
        <w:rPr>
          <w:rFonts w:ascii="Times New Roman" w:eastAsia="Calibri" w:hAnsi="Times New Roman" w:cs="Times New Roman"/>
          <w:b/>
        </w:rPr>
        <w:t>Ясно Солнышко</w:t>
      </w:r>
      <w:r>
        <w:rPr>
          <w:rFonts w:ascii="Times New Roman" w:eastAsia="Calibri" w:hAnsi="Times New Roman" w:cs="Times New Roman"/>
          <w:b/>
        </w:rPr>
        <w:t xml:space="preserve">» с </w:t>
      </w:r>
      <w:proofErr w:type="spellStart"/>
      <w:r>
        <w:rPr>
          <w:rFonts w:ascii="Times New Roman" w:eastAsia="Calibri" w:hAnsi="Times New Roman" w:cs="Times New Roman"/>
          <w:b/>
        </w:rPr>
        <w:t>кешбэком</w:t>
      </w:r>
      <w:proofErr w:type="spellEnd"/>
      <w:r>
        <w:rPr>
          <w:rFonts w:ascii="Times New Roman" w:eastAsia="Calibri" w:hAnsi="Times New Roman" w:cs="Times New Roman"/>
          <w:b/>
        </w:rPr>
        <w:t xml:space="preserve"> до </w:t>
      </w:r>
      <w:r w:rsidR="000416C7">
        <w:rPr>
          <w:rFonts w:ascii="Times New Roman" w:eastAsia="Calibri" w:hAnsi="Times New Roman" w:cs="Times New Roman"/>
          <w:b/>
        </w:rPr>
        <w:t>25</w:t>
      </w:r>
      <w:r>
        <w:rPr>
          <w:rFonts w:ascii="Times New Roman" w:eastAsia="Calibri" w:hAnsi="Times New Roman" w:cs="Times New Roman"/>
          <w:b/>
        </w:rPr>
        <w:t>%»</w:t>
      </w:r>
    </w:p>
    <w:p w:rsidR="00FF2AF0" w:rsidRDefault="00FF2AF0" w:rsidP="00FF2A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067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830"/>
        <w:gridCol w:w="7849"/>
      </w:tblGrid>
      <w:tr w:rsidR="00FF2AF0" w:rsidTr="004D7CF8">
        <w:trPr>
          <w:trHeight w:val="144"/>
        </w:trPr>
        <w:tc>
          <w:tcPr>
            <w:tcW w:w="2830" w:type="dxa"/>
          </w:tcPr>
          <w:p w:rsidR="00FF2AF0" w:rsidRDefault="00FF2AF0" w:rsidP="00CF6A3E">
            <w:pPr>
              <w:pStyle w:val="a5"/>
              <w:numPr>
                <w:ilvl w:val="0"/>
                <w:numId w:val="1"/>
              </w:numPr>
              <w:tabs>
                <w:tab w:val="left" w:pos="147"/>
                <w:tab w:val="left" w:pos="430"/>
              </w:tabs>
              <w:spacing w:line="276" w:lineRule="auto"/>
              <w:ind w:left="5" w:hanging="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Термины и определения</w:t>
            </w:r>
          </w:p>
        </w:tc>
        <w:tc>
          <w:tcPr>
            <w:tcW w:w="7849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Написанные с большой буквы термины, используемые в настоящих Правилах Акции и не указанные в настоящих Правилах Акции, употребляются в том же значении, которое определено в Правилах Программы лояльности «Город» (</w:t>
            </w:r>
            <w:hyperlink r:id="rId5" w:tooltip="http://www.gorodtroika.ru/oferta" w:history="1">
              <w:r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http://www.gorodtroika.ru/oferta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</w:tc>
      </w:tr>
      <w:tr w:rsidR="00FF2AF0" w:rsidTr="004D7CF8">
        <w:trPr>
          <w:trHeight w:val="144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 Наименование Акции</w:t>
            </w:r>
          </w:p>
        </w:tc>
        <w:tc>
          <w:tcPr>
            <w:tcW w:w="7849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Акция «</w:t>
            </w:r>
            <w:r w:rsidR="000416C7">
              <w:rPr>
                <w:rFonts w:ascii="Times New Roman" w:hAnsi="Times New Roman"/>
                <w:b/>
              </w:rPr>
              <w:t>Овсянка, сэр</w:t>
            </w:r>
            <w:r w:rsidR="000416C7">
              <w:rPr>
                <w:rFonts w:ascii="Times New Roman" w:hAnsi="Times New Roman"/>
                <w:b/>
                <w:bCs/>
                <w:color w:val="222222"/>
              </w:rPr>
              <w:t>!»</w:t>
            </w:r>
          </w:p>
          <w:p w:rsidR="00FF2AF0" w:rsidRDefault="000416C7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16C7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Продукция «Ясно Солнышко» с </w:t>
            </w:r>
            <w:proofErr w:type="spellStart"/>
            <w:r w:rsidRPr="000416C7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кешбэком</w:t>
            </w:r>
            <w:proofErr w:type="spellEnd"/>
            <w:r w:rsidRPr="000416C7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до 25%</w:t>
            </w:r>
            <w:r w:rsidR="00FF2AF0">
              <w:rPr>
                <w:rFonts w:ascii="Times New Roman" w:hAnsi="Times New Roman"/>
                <w:sz w:val="22"/>
                <w:szCs w:val="22"/>
              </w:rPr>
              <w:t xml:space="preserve"> (далее – «Акция») является рекламным стимулирующим мероприятием в смысле ст.9 Федерального закона РФ от 13.03.2006 № 38-ФЗ «О рекламе», не является публичным конкурсом, предусмотренным положениями гл. 57 Гражданского кодекса РФ, и не является лотерей согласно Федеральному закону РФ от 11.11.2003 № 138-ФЗ «О лотереях». 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Акции осуществляется на базе Программы лояльности «Город». </w:t>
            </w:r>
          </w:p>
        </w:tc>
      </w:tr>
      <w:tr w:rsidR="00FF2AF0" w:rsidTr="004D7CF8">
        <w:trPr>
          <w:trHeight w:val="144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 Участники Акции</w:t>
            </w:r>
          </w:p>
        </w:tc>
        <w:tc>
          <w:tcPr>
            <w:tcW w:w="7849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Участниками Акции являются Участники Программы лояльности «Город» (далее – «Участник»).</w:t>
            </w:r>
          </w:p>
        </w:tc>
      </w:tr>
      <w:tr w:rsidR="00FF2AF0" w:rsidTr="004D7CF8">
        <w:trPr>
          <w:trHeight w:val="144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 Цели проведения Акции</w:t>
            </w:r>
          </w:p>
        </w:tc>
        <w:tc>
          <w:tcPr>
            <w:tcW w:w="7849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повышение удовлетворенности Участников Акции и их стимулирование для увеличения приобретения Товаров у Организатора Акции, 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формирование и увеличение лояльности Участников к Организатору Акции, а также Программе лояльности «Город» </w:t>
            </w:r>
          </w:p>
          <w:p w:rsidR="00FF2AF0" w:rsidRDefault="00FF2AF0" w:rsidP="004D7CF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стимулирование потребительского спроса, увеличения числа покупателей, привлечение внимания, повышение узнаваемости и лояльности, поддержание и увеличение интереса Участников к Организатору Акции, товарным знакам, Товарам, участвующим в Акции, с целью их продвижения на рынке. </w:t>
            </w:r>
          </w:p>
        </w:tc>
      </w:tr>
      <w:tr w:rsidR="00FF2AF0" w:rsidTr="004D7CF8">
        <w:trPr>
          <w:trHeight w:val="144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 Информация об Организаторе Акции</w:t>
            </w:r>
          </w:p>
        </w:tc>
        <w:tc>
          <w:tcPr>
            <w:tcW w:w="7849" w:type="dxa"/>
          </w:tcPr>
          <w:p w:rsidR="00FF2AF0" w:rsidRDefault="00FF2AF0" w:rsidP="00CF6A3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ОО «Народная карта»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Адрес местонахождения: 115533, г. Москва,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Нагатинская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набережная, дом 18, корпус 1, этаж 1, помещение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XXI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ИНН/КПП: 7719855294/772501001, ОГРН 1137746823994,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р/с 40702810802720003292 </w:t>
            </w:r>
          </w:p>
          <w:p w:rsidR="00FF2AF0" w:rsidRDefault="00FF2AF0" w:rsidP="00CF6A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в АО «АЛЬФА-БАНК» </w:t>
            </w:r>
            <w:r>
              <w:rPr>
                <w:rFonts w:ascii="Times New Roman" w:hAnsi="Times New Roman"/>
                <w:sz w:val="22"/>
                <w:szCs w:val="22"/>
              </w:rPr>
              <w:t>к/с 30101810200000000593 БИК 044525593 т</w:t>
            </w:r>
          </w:p>
          <w:p w:rsidR="00FF2AF0" w:rsidRDefault="00FF2AF0" w:rsidP="00CF6A3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ел: +7 (499) 350-8867</w:t>
            </w:r>
          </w:p>
        </w:tc>
      </w:tr>
      <w:tr w:rsidR="00FF2AF0" w:rsidTr="004D7CF8">
        <w:trPr>
          <w:trHeight w:val="144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 Сроки проведения Акции</w:t>
            </w:r>
          </w:p>
        </w:tc>
        <w:tc>
          <w:tcPr>
            <w:tcW w:w="7849" w:type="dxa"/>
            <w:shd w:val="clear" w:color="auto" w:fill="auto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Общие сроки Акции: с 00 часов 01 минуты </w:t>
            </w:r>
            <w:r w:rsidR="004D7CF8">
              <w:rPr>
                <w:rFonts w:ascii="Times New Roman" w:hAnsi="Times New Roman"/>
                <w:sz w:val="22"/>
                <w:szCs w:val="22"/>
              </w:rPr>
              <w:t>15 августа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2022 года по 23 часа 59 минут </w:t>
            </w:r>
            <w:r w:rsidR="004D7CF8">
              <w:rPr>
                <w:rFonts w:ascii="Times New Roman" w:hAnsi="Times New Roman"/>
                <w:sz w:val="22"/>
                <w:szCs w:val="22"/>
              </w:rPr>
              <w:t>14 декабря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2022 года.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t xml:space="preserve">     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Акция может быть продлена или завершена ранее указанного срока в случае исчерпания Фонда Акции или по иным причинам, о чем Участники Акции информируются не менее чем за 30 (тридцать) календарных дней до предполагаемой даты её продления или прекращения путём размещения информации об этом на сайте Организатора Акции: </w:t>
            </w:r>
            <w:hyperlink r:id="rId6" w:tooltip="http://www.gorodtroika.ru" w:history="1">
              <w:r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http://www.gorodtroika.ru</w:t>
              </w:r>
            </w:hyperlink>
            <w:r>
              <w:rPr>
                <w:rStyle w:val="a3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и(или) на сайте Программы лояльности «Город»: </w:t>
            </w:r>
            <w:hyperlink r:id="rId7" w:tooltip="http://www.gorodtroika.ru" w:history="1">
              <w:r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http://www.gorodtroika.ru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и (или) в Мобильном приложении «Город», что является надлежащим и достаточным способом уведомления Участников о продлении или прекращении Акции.</w:t>
            </w:r>
          </w:p>
        </w:tc>
      </w:tr>
      <w:tr w:rsidR="00FF2AF0" w:rsidTr="004D7CF8">
        <w:trPr>
          <w:trHeight w:val="144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 Место проведения Акции</w:t>
            </w:r>
          </w:p>
        </w:tc>
        <w:tc>
          <w:tcPr>
            <w:tcW w:w="7849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Акция проводится в мобильном приложении «Город». Товары,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участвующие  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Акции, можно приобрести на территории Москвы и Московской области в</w:t>
            </w:r>
            <w:r w:rsidR="004D7CF8">
              <w:rPr>
                <w:rFonts w:ascii="Times New Roman" w:hAnsi="Times New Roman"/>
                <w:sz w:val="22"/>
                <w:szCs w:val="22"/>
              </w:rPr>
              <w:t xml:space="preserve"> любых продуктовых магазинах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сетях</w:t>
            </w:r>
            <w:r w:rsidR="004D7C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F2AF0" w:rsidTr="004D7CF8">
        <w:trPr>
          <w:trHeight w:val="144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8. Порядок и способ информирования участников Акции о ее проведении </w:t>
            </w:r>
          </w:p>
        </w:tc>
        <w:tc>
          <w:tcPr>
            <w:tcW w:w="7849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Информирование Участников Акции и потенциальных участников Акции об условиях её проведения происходит посредством: 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размещения информации в Мобильном приложении «Город»,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которое доступно для установки на мобильные устройства по ссылкам: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https://itunes.apple.com/ru/app/город-программа-лояльности/id1241349160?mt=8 или </w:t>
            </w:r>
            <w:hyperlink r:id="rId8" w:tooltip="https://play.google.com/store/apps/details?id=com.alterevit.gorod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https://play.google.com/store/apps/details?id=com.alterevit.gorod</w:t>
              </w:r>
            </w:hyperlink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- размещения информации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сайте Программы лояльности «Город»: </w:t>
            </w:r>
            <w:hyperlink r:id="rId9" w:tooltip="http://www.gorodtroika.ru" w:history="1">
              <w:r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http://www.gorodtroika.ru</w:t>
              </w:r>
            </w:hyperlink>
            <w:r>
              <w:rPr>
                <w:rStyle w:val="a3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F2AF0" w:rsidTr="004D7CF8">
        <w:trPr>
          <w:trHeight w:val="11982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9. Условия Акции</w:t>
            </w:r>
          </w:p>
        </w:tc>
        <w:tc>
          <w:tcPr>
            <w:tcW w:w="7849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9.1. Условия Начисления Бонусов.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9.1.1. Любому Участнику Программы лояльности «Город» за приобретение им в период проведения Акции Товаров с учетом ограничений, определенных в настоящих Правилах Акции, при условии сканирования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кода кассового чека на Товар в Мобильном приложении «Город» на Бонусный счет вне зависимости от Уровня Участника в Программе начисляются Бонусы в следующем размере: до </w:t>
            </w:r>
            <w:r w:rsidR="004D7CF8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% от стоимости Товара.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9.1.2. Информация о конкретном размере бонусов (или о том, что Акция не распространяется на Товар) указывается в Мобильном приложении «Город» при непосредственном сканировании Участником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кода кассового чека на Товар в Мобильном приложении «Город».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9.1.3. В Акции участвуют Товары, список которых указан в Приложении №1 текущего документа.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9.1.4. Бонусы рассчитываются и начисляются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от стоимости каждого Товара, указанную в чеке, в соответствии с ограничениями, установленными Правилами Акции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9.1.5. Срок начисления Бонусов в рамках Акции: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 (Три) рабочих дня с даты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сканирования QR кода чека Участником Товара согласно настоящим Правилам Акции. Срок начисления Бонусов может быть увеличен в случае несвоевременного получения Организатором фискальных документов, технических неисправностей кассового оборудования, временной неработоспособности и/или сбоев в работе сервисов ФНС России, а также в других случаях и обстоятельствах, независящих от Организатора Акции.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9.1.6. Фонд акции </w:t>
            </w:r>
            <w:r w:rsidRPr="004D7CF8">
              <w:rPr>
                <w:rFonts w:ascii="Times New Roman" w:hAnsi="Times New Roman"/>
                <w:sz w:val="22"/>
                <w:szCs w:val="22"/>
              </w:rPr>
              <w:t xml:space="preserve">составляет </w:t>
            </w:r>
            <w:r w:rsidR="004D7CF8" w:rsidRPr="004D7CF8">
              <w:rPr>
                <w:rFonts w:ascii="Times New Roman" w:hAnsi="Times New Roman"/>
                <w:sz w:val="22"/>
                <w:szCs w:val="22"/>
              </w:rPr>
              <w:t>480</w:t>
            </w:r>
            <w:r w:rsidRPr="004D7CF8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4D7CF8">
              <w:rPr>
                <w:rFonts w:ascii="Times New Roman" w:hAnsi="Times New Roman"/>
                <w:sz w:val="22"/>
                <w:szCs w:val="22"/>
              </w:rPr>
              <w:t>четырес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та </w:t>
            </w:r>
            <w:r w:rsidR="004D7CF8">
              <w:rPr>
                <w:rFonts w:ascii="Times New Roman" w:hAnsi="Times New Roman"/>
                <w:sz w:val="22"/>
                <w:szCs w:val="22"/>
              </w:rPr>
              <w:t>восемьдес</w:t>
            </w:r>
            <w:r>
              <w:rPr>
                <w:rFonts w:ascii="Times New Roman" w:hAnsi="Times New Roman"/>
                <w:sz w:val="22"/>
                <w:szCs w:val="22"/>
              </w:rPr>
              <w:t>ят тысяч) рублей 00 копеек, в том числе НДС, в случае израсходования Фонда Акции ранее срока, указанного в настоящих Правилах, Акция завершается досрочно, о чем Организатор уведомляет Участников в соответствии с настоящими Правилами.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9.1.7. В рамках настоящей Акции итоговый размер Бонусов, начисляемых Участнику в рамках Акции, не зависит от Уровня Участника в Программе. 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9.1.8. Бонусы начисляются только на базовую стоимость Товара, указанную в чеке, и не могут быть начислены на любые дополнительные услуги, страховку или сборы.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9.1.9. Для Начисления Бонусов Участнику необходимо: 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выбрать интересующий Товар, участвующий в Акции;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после покупки Товара загрузить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QR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код кассового чека в разделах «Сканер» Мобильного приложения «Город» в течение </w:t>
            </w:r>
            <w:r w:rsidR="004D7C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r w:rsidR="004D7C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двадцати четырех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 часов после покупки Товара, но не позднее срока окончания Акции.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9.1.10. </w:t>
            </w:r>
            <w:r>
              <w:rPr>
                <w:rFonts w:ascii="Times New Roman" w:hAnsi="Times New Roman"/>
                <w:sz w:val="22"/>
                <w:szCs w:val="22"/>
              </w:rPr>
              <w:t>Бонусы используются только в учётных целях и не являются и не могут являться средством платежа, каким-либо видом валюты или ценной бумагой, не могут быть обналичены, переданы, подарены третьим лицам или переданы по наследству.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9.1.11. Во всем ином, что не оговорено в Правилах Акции, применяются Правилах Программы лояльности «Город» (</w:t>
            </w:r>
            <w:hyperlink r:id="rId10" w:tooltip="http://www.gorodtroika.ru/oferta" w:history="1">
              <w:r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http://www.gorodtroika.ru/oferta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</w:tc>
      </w:tr>
      <w:tr w:rsidR="00FF2AF0" w:rsidTr="004D7CF8">
        <w:trPr>
          <w:trHeight w:val="3221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10. Прочие условия. Ограничения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849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10.1. Ограничения на Начисление Бонусов в ходе Акции по всем товарам, участвующим в акции «Товарный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кешбэк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»: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10.1.1.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Максимальная сумма начисляемых Бонусов для 1 (одного) Участника за все время действия Акции – 15000 (Пятнадцать тысяч) Бонусов;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Максимальная сумма начисляемых Бонусов по одному чеку независимо от количества и вида приобретаемого Товара для 1 (одного) Участника – 1000 (Одна тысяча) Бонусов;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Максимальная сумма начисляемых Бонусов для 1 (одного) Участника за 1 (одни) сутки – 3000 (Три тысячи) Бонусов;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Максимальная сумма начисляемых Бонусов для 1 (одного) Участника за 1 (один) месяц – 5000 (Пять тысяч) Бонусов;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Максимальное количество загружаемых в Мобильное приложение «Город» кассовых чеков с начисленными Бонусами для 1 (одного) Участника за все время действия Акции – 30 (Тридцать) штук;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Максимальное количество загружаемых в Мобильное приложение «Город» кассовых чеков с начисленными Бонусами для 1 (одного) Участника за 1 (одни) сутки – 3 (Три) штуки;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Максимальное количество загружаемых в Мобильное приложение «Город» кассовых чеков с начисленными Бонусами для 1 (одного) Участника за 1 (один) месяц – 10 (Десять) штук;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Максимальное количество Товаров из Акции с начисленными Бонусами для 1 (одного) Участника за все время действия Акции – 9999 (Девять тысяч девятьсот девяносто девять) штук;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Максимальное количество Товаров из Акции с начисленными Бонусами для 1 (одного) Участника за 1 (одни) сутки – 10 (Десять) штук;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Максимальное количество Товаров из Акции с начисленными Бонусами для 1 (одного) Участника за 1 (один) месяц – 9999 (Девять тысяч девятьсот девяносто девять) штук;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Максимальное количество одинаковых Товаров с начисленными Бонусами в 1 (одном) кассовом чеке – 10 (Десять) штук;</w:t>
            </w:r>
          </w:p>
          <w:p w:rsidR="004C7BFE" w:rsidRPr="004C7BFE" w:rsidRDefault="004C7BFE" w:rsidP="004C7B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10.1.1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C7BFE">
              <w:rPr>
                <w:rFonts w:ascii="Times New Roman" w:hAnsi="Times New Roman"/>
                <w:sz w:val="22"/>
                <w:szCs w:val="22"/>
              </w:rPr>
              <w:t>Максимальное количество Товаров с начисленными Бонусами в 1 (одном) кассовом чеке – 10 (Десять) штук.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10.2.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Ограничения на Начисление Бонусов в ходе Акции по товарам «</w:t>
            </w:r>
            <w:r w:rsidR="004D7CF8">
              <w:rPr>
                <w:rFonts w:ascii="Times New Roman" w:hAnsi="Times New Roman"/>
                <w:b/>
                <w:sz w:val="22"/>
                <w:szCs w:val="22"/>
              </w:rPr>
              <w:t>Ясно Солнышко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», участвующим в акции «Товарный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кешбэк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»: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10.2.1. Максимальное количество одинаковых товаров из акции в одном чеке – 5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10.2.2. Максимальное количество товаров в акции, за которые один пользователь может получить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кешбэк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сутки – 7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10.2.3. Максимальное количество товаров в акции, за которые один пользователь может получить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кешбэк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календарный месяц – </w:t>
            </w:r>
            <w:r w:rsidR="004D7CF8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10.2.4. Максимальное количество товаров из этой акции, за которые один пользователь может получить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кешбэк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 все время акции – </w:t>
            </w:r>
            <w:r w:rsidR="004D7CF8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F2AF0" w:rsidTr="004D7CF8">
        <w:trPr>
          <w:trHeight w:val="2920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11. Права и обязанности Участников Акции</w:t>
            </w:r>
          </w:p>
        </w:tc>
        <w:tc>
          <w:tcPr>
            <w:tcW w:w="7849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11.1. Участник Акции вправе: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11.1.1. Знакомиться с Условиями Акции; 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11.1.2. Принимать участие в Акции в порядке, определенном настоящими Правилами Акции, а также Правилами Программы лояльности «Город»;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11.2. Участник Акции обязан: 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11.2.1. Выполнять требования настоящих Правил, а также иные требования, предъявляемые действующим законодательством РФ, Правилами Программы лояльности «Город»;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11.3. Своим участием в Акции Участник подтверждает, что он полностью ознакомлен и согласен с настоящими Правилами Акции, Правилами Программы лояльности «Город».</w:t>
            </w:r>
          </w:p>
        </w:tc>
      </w:tr>
      <w:tr w:rsidR="00FF2AF0" w:rsidTr="004D7CF8">
        <w:trPr>
          <w:trHeight w:val="3800"/>
        </w:trPr>
        <w:tc>
          <w:tcPr>
            <w:tcW w:w="2830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 Права и Обязанности Организатора</w:t>
            </w:r>
          </w:p>
        </w:tc>
        <w:tc>
          <w:tcPr>
            <w:tcW w:w="7849" w:type="dxa"/>
          </w:tcPr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12.1. Организатор Акции вправе: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12.1.1. В любое время изменять Правила Акции, в том числе сроки проведения Акции, иные условия Акции, прекратить Акцию, о чем Участники Акции информируются не менее чем за 30 (тридцать) календарных дней до предполагаемой даты изменения/прекращения Акции путём размещения информации об этом на сайте Программы лояльности «Город»: </w:t>
            </w:r>
            <w:hyperlink r:id="rId11" w:tooltip="http://www.gorodtroika.ru" w:history="1">
              <w:r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http://www.gorodtroika.ru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и/или в Мобильном приложении «Город», что является надлежащим и достаточным способом уведомления Участников об изменении условий/прекращении Акции.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12.2. Организатор Акции обязан: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12.2.1. Выполнять условия Акции, определенные в настоящих Правилах Акции, при соблюдении Участником Акции всех условий, указанных в настоящих Правилах, Правилах Программы лояльности «Город».</w:t>
            </w:r>
          </w:p>
          <w:p w:rsidR="00FF2AF0" w:rsidRDefault="00FF2AF0" w:rsidP="00CF6A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F2AF0" w:rsidRDefault="00FF2AF0" w:rsidP="00FF2A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2AF0" w:rsidRDefault="00FF2AF0" w:rsidP="00FF2A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№1</w:t>
      </w:r>
    </w:p>
    <w:p w:rsidR="00FF2AF0" w:rsidRDefault="00FF2AF0" w:rsidP="00FF2A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К ПРАВИЛАМ АКЦИИ «</w:t>
      </w:r>
      <w:r w:rsidR="004D7CF8">
        <w:rPr>
          <w:rFonts w:ascii="Times New Roman" w:eastAsia="Calibri" w:hAnsi="Times New Roman" w:cs="Times New Roman"/>
          <w:b/>
        </w:rPr>
        <w:t>Овсянка, сэр!»</w:t>
      </w:r>
      <w:r>
        <w:rPr>
          <w:rFonts w:ascii="Times New Roman" w:hAnsi="Times New Roman" w:cs="Times New Roman"/>
          <w:b/>
          <w:bCs/>
          <w:color w:val="222222"/>
        </w:rPr>
        <w:br/>
      </w:r>
      <w:r>
        <w:rPr>
          <w:rFonts w:ascii="Times New Roman" w:eastAsia="Calibri" w:hAnsi="Times New Roman" w:cs="Times New Roman"/>
          <w:b/>
        </w:rPr>
        <w:t>Продукция «</w:t>
      </w:r>
      <w:r w:rsidR="004D7CF8">
        <w:rPr>
          <w:rFonts w:ascii="Times New Roman" w:eastAsia="Calibri" w:hAnsi="Times New Roman" w:cs="Times New Roman"/>
          <w:b/>
        </w:rPr>
        <w:t>Ясно Солнышко</w:t>
      </w:r>
      <w:r>
        <w:rPr>
          <w:rFonts w:ascii="Times New Roman" w:eastAsia="Calibri" w:hAnsi="Times New Roman" w:cs="Times New Roman"/>
          <w:b/>
        </w:rPr>
        <w:t xml:space="preserve">» с </w:t>
      </w:r>
      <w:proofErr w:type="spellStart"/>
      <w:r>
        <w:rPr>
          <w:rFonts w:ascii="Times New Roman" w:eastAsia="Calibri" w:hAnsi="Times New Roman" w:cs="Times New Roman"/>
          <w:b/>
        </w:rPr>
        <w:t>кешбэком</w:t>
      </w:r>
      <w:proofErr w:type="spellEnd"/>
      <w:r>
        <w:rPr>
          <w:rFonts w:ascii="Times New Roman" w:eastAsia="Calibri" w:hAnsi="Times New Roman" w:cs="Times New Roman"/>
          <w:b/>
        </w:rPr>
        <w:t xml:space="preserve"> до </w:t>
      </w:r>
      <w:r w:rsidR="004D7CF8">
        <w:rPr>
          <w:rFonts w:ascii="Times New Roman" w:eastAsia="Calibri" w:hAnsi="Times New Roman" w:cs="Times New Roman"/>
          <w:b/>
        </w:rPr>
        <w:t>25</w:t>
      </w:r>
      <w:r>
        <w:rPr>
          <w:rFonts w:ascii="Times New Roman" w:eastAsia="Calibri" w:hAnsi="Times New Roman" w:cs="Times New Roman"/>
          <w:b/>
        </w:rPr>
        <w:t>%»</w:t>
      </w:r>
    </w:p>
    <w:p w:rsidR="00FF2AF0" w:rsidRDefault="00FF2AF0" w:rsidP="00FF2A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Товаров, участвующих в Акции:</w:t>
      </w: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048"/>
      </w:tblGrid>
      <w:tr w:rsidR="004D7CF8" w:rsidRPr="004D7CF8" w:rsidTr="004D7CF8">
        <w:trPr>
          <w:trHeight w:val="568"/>
        </w:trPr>
        <w:tc>
          <w:tcPr>
            <w:tcW w:w="3560" w:type="dxa"/>
            <w:shd w:val="clear" w:color="000000" w:fill="92CDDC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7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Подгруппа (Акция)</w:t>
            </w:r>
          </w:p>
        </w:tc>
        <w:tc>
          <w:tcPr>
            <w:tcW w:w="5048" w:type="dxa"/>
            <w:shd w:val="clear" w:color="000000" w:fill="92CDDC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7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для Мобильного приложения</w:t>
            </w:r>
          </w:p>
        </w:tc>
      </w:tr>
      <w:tr w:rsidR="004D7CF8" w:rsidRPr="004D7CF8" w:rsidTr="004D7CF8">
        <w:trPr>
          <w:trHeight w:val="669"/>
        </w:trPr>
        <w:tc>
          <w:tcPr>
            <w:tcW w:w="3560" w:type="dxa"/>
            <w:vMerge w:val="restart"/>
            <w:shd w:val="clear" w:color="auto" w:fill="auto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всяные хлопья</w:t>
            </w: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Хлопья овсяные ГОСТ №1 // </w:t>
            </w:r>
            <w:proofErr w:type="spellStart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</w:t>
            </w:r>
            <w:proofErr w:type="spellEnd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0,500 кг. Ясно Солнышко</w:t>
            </w:r>
          </w:p>
        </w:tc>
      </w:tr>
      <w:tr w:rsidR="004D7CF8" w:rsidRPr="004D7CF8" w:rsidTr="004D7CF8">
        <w:trPr>
          <w:trHeight w:val="693"/>
        </w:trPr>
        <w:tc>
          <w:tcPr>
            <w:tcW w:w="3560" w:type="dxa"/>
            <w:vMerge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Хлопья овсяные ГОСТ №2 // </w:t>
            </w:r>
            <w:proofErr w:type="spellStart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</w:t>
            </w:r>
            <w:proofErr w:type="spellEnd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0,500 кг. Ясно Солнышко</w:t>
            </w:r>
          </w:p>
        </w:tc>
      </w:tr>
      <w:tr w:rsidR="004D7CF8" w:rsidRPr="004D7CF8" w:rsidTr="004D7CF8">
        <w:trPr>
          <w:trHeight w:val="693"/>
        </w:trPr>
        <w:tc>
          <w:tcPr>
            <w:tcW w:w="3560" w:type="dxa"/>
            <w:vMerge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Хлопья овсяные№3 // </w:t>
            </w:r>
            <w:proofErr w:type="spellStart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</w:t>
            </w:r>
            <w:proofErr w:type="spellEnd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0,350 кг, Ясно Солнышко</w:t>
            </w:r>
          </w:p>
        </w:tc>
      </w:tr>
      <w:tr w:rsidR="004D7CF8" w:rsidRPr="004D7CF8" w:rsidTr="004D7CF8">
        <w:trPr>
          <w:trHeight w:val="693"/>
        </w:trPr>
        <w:tc>
          <w:tcPr>
            <w:tcW w:w="3560" w:type="dxa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азнозлаковые</w:t>
            </w:r>
            <w:proofErr w:type="spellEnd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хлопья</w:t>
            </w: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Хлопья 7 злаков // </w:t>
            </w:r>
            <w:proofErr w:type="spellStart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</w:t>
            </w:r>
            <w:proofErr w:type="spellEnd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0,400 кг Ясно Солнышко</w:t>
            </w:r>
          </w:p>
        </w:tc>
      </w:tr>
      <w:tr w:rsidR="004D7CF8" w:rsidRPr="004D7CF8" w:rsidTr="004D7CF8">
        <w:trPr>
          <w:trHeight w:val="693"/>
        </w:trPr>
        <w:tc>
          <w:tcPr>
            <w:tcW w:w="3560" w:type="dxa"/>
            <w:vMerge w:val="restart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аша овсяная</w:t>
            </w: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Каша </w:t>
            </w:r>
            <w:proofErr w:type="gramStart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овсяная  ассорти</w:t>
            </w:r>
            <w:proofErr w:type="gramEnd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10 с молоком (с изюмом, абрикосом, яблоком) ,0,27 кг Ясно Солнышко</w:t>
            </w:r>
          </w:p>
        </w:tc>
      </w:tr>
      <w:tr w:rsidR="004D7CF8" w:rsidRPr="004D7CF8" w:rsidTr="004D7CF8">
        <w:trPr>
          <w:trHeight w:val="693"/>
        </w:trPr>
        <w:tc>
          <w:tcPr>
            <w:tcW w:w="3560" w:type="dxa"/>
            <w:vMerge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Каша </w:t>
            </w:r>
            <w:proofErr w:type="gramStart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овсяная  ассорти</w:t>
            </w:r>
            <w:proofErr w:type="gramEnd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№1 (с клубникой, малиной, изюмом) ,0,27 кг Ясно Солнышко</w:t>
            </w:r>
          </w:p>
        </w:tc>
      </w:tr>
      <w:tr w:rsidR="004D7CF8" w:rsidRPr="004D7CF8" w:rsidTr="004D7CF8">
        <w:trPr>
          <w:trHeight w:val="693"/>
        </w:trPr>
        <w:tc>
          <w:tcPr>
            <w:tcW w:w="3560" w:type="dxa"/>
            <w:vMerge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Каша </w:t>
            </w:r>
            <w:proofErr w:type="gramStart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овсяная  ассорти</w:t>
            </w:r>
            <w:proofErr w:type="gramEnd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3  (с изюмом, абрикосом, яблоком) ,0,27 кг Ясно Солнышко</w:t>
            </w:r>
          </w:p>
        </w:tc>
      </w:tr>
      <w:tr w:rsidR="004D7CF8" w:rsidRPr="004D7CF8" w:rsidTr="004D7CF8">
        <w:trPr>
          <w:trHeight w:val="693"/>
        </w:trPr>
        <w:tc>
          <w:tcPr>
            <w:tcW w:w="3560" w:type="dxa"/>
            <w:vMerge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Каша "Полезные злаки</w:t>
            </w:r>
            <w:proofErr w:type="gramStart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  Ассорти</w:t>
            </w:r>
            <w:proofErr w:type="gramEnd"/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0,27 кг Ясно Солнышко</w:t>
            </w:r>
          </w:p>
        </w:tc>
      </w:tr>
      <w:tr w:rsidR="004D7CF8" w:rsidRPr="004D7CF8" w:rsidTr="004D7CF8">
        <w:trPr>
          <w:trHeight w:val="693"/>
        </w:trPr>
        <w:tc>
          <w:tcPr>
            <w:tcW w:w="3560" w:type="dxa"/>
            <w:vMerge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4D7CF8" w:rsidRPr="004D7CF8" w:rsidRDefault="004D7CF8" w:rsidP="004D7C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Каша овсяная с абрикосом 0,045 кг Ясно Солнышко</w:t>
            </w:r>
          </w:p>
        </w:tc>
      </w:tr>
    </w:tbl>
    <w:p w:rsidR="00FF2AF0" w:rsidRDefault="00FF2AF0" w:rsidP="00EB28B3">
      <w:pPr>
        <w:rPr>
          <w:rFonts w:ascii="Times New Roman" w:hAnsi="Times New Roman" w:cs="Times New Roman"/>
          <w:b/>
        </w:rPr>
      </w:pPr>
    </w:p>
    <w:p w:rsidR="00FF2AF0" w:rsidRDefault="00FF2AF0" w:rsidP="00FF2AF0">
      <w:pPr>
        <w:jc w:val="center"/>
        <w:rPr>
          <w:rFonts w:ascii="Times New Roman" w:hAnsi="Times New Roman" w:cs="Times New Roman"/>
          <w:b/>
        </w:rPr>
      </w:pPr>
    </w:p>
    <w:p w:rsidR="00FF2AF0" w:rsidRDefault="00FF2AF0" w:rsidP="00FF2AF0">
      <w:pPr>
        <w:jc w:val="center"/>
        <w:rPr>
          <w:rFonts w:ascii="Times New Roman" w:hAnsi="Times New Roman" w:cs="Times New Roman"/>
          <w:b/>
        </w:rPr>
      </w:pPr>
    </w:p>
    <w:p w:rsidR="00134195" w:rsidRPr="00FF2AF0" w:rsidRDefault="00134195" w:rsidP="00FF2AF0"/>
    <w:sectPr w:rsidR="00134195" w:rsidRPr="00FF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441C"/>
    <w:multiLevelType w:val="hybridMultilevel"/>
    <w:tmpl w:val="2D627EDC"/>
    <w:lvl w:ilvl="0" w:tplc="352E8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A96A2">
      <w:start w:val="1"/>
      <w:numFmt w:val="lowerLetter"/>
      <w:lvlText w:val="%2."/>
      <w:lvlJc w:val="left"/>
      <w:pPr>
        <w:ind w:left="1440" w:hanging="360"/>
      </w:pPr>
    </w:lvl>
    <w:lvl w:ilvl="2" w:tplc="4D287850">
      <w:start w:val="1"/>
      <w:numFmt w:val="lowerRoman"/>
      <w:lvlText w:val="%3."/>
      <w:lvlJc w:val="right"/>
      <w:pPr>
        <w:ind w:left="2160" w:hanging="180"/>
      </w:pPr>
    </w:lvl>
    <w:lvl w:ilvl="3" w:tplc="18A8513E">
      <w:start w:val="1"/>
      <w:numFmt w:val="decimal"/>
      <w:lvlText w:val="%4."/>
      <w:lvlJc w:val="left"/>
      <w:pPr>
        <w:ind w:left="2880" w:hanging="360"/>
      </w:pPr>
    </w:lvl>
    <w:lvl w:ilvl="4" w:tplc="3A30C7EE">
      <w:start w:val="1"/>
      <w:numFmt w:val="lowerLetter"/>
      <w:lvlText w:val="%5."/>
      <w:lvlJc w:val="left"/>
      <w:pPr>
        <w:ind w:left="3600" w:hanging="360"/>
      </w:pPr>
    </w:lvl>
    <w:lvl w:ilvl="5" w:tplc="A5F085B2">
      <w:start w:val="1"/>
      <w:numFmt w:val="lowerRoman"/>
      <w:lvlText w:val="%6."/>
      <w:lvlJc w:val="right"/>
      <w:pPr>
        <w:ind w:left="4320" w:hanging="180"/>
      </w:pPr>
    </w:lvl>
    <w:lvl w:ilvl="6" w:tplc="5DA640F6">
      <w:start w:val="1"/>
      <w:numFmt w:val="decimal"/>
      <w:lvlText w:val="%7."/>
      <w:lvlJc w:val="left"/>
      <w:pPr>
        <w:ind w:left="5040" w:hanging="360"/>
      </w:pPr>
    </w:lvl>
    <w:lvl w:ilvl="7" w:tplc="6EE25FF0">
      <w:start w:val="1"/>
      <w:numFmt w:val="lowerLetter"/>
      <w:lvlText w:val="%8."/>
      <w:lvlJc w:val="left"/>
      <w:pPr>
        <w:ind w:left="5760" w:hanging="360"/>
      </w:pPr>
    </w:lvl>
    <w:lvl w:ilvl="8" w:tplc="F69A0E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F0"/>
    <w:rsid w:val="000416C7"/>
    <w:rsid w:val="00057CE9"/>
    <w:rsid w:val="00134195"/>
    <w:rsid w:val="004C7BFE"/>
    <w:rsid w:val="004D7CF8"/>
    <w:rsid w:val="00EB28B3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FBB9"/>
  <w15:chartTrackingRefBased/>
  <w15:docId w15:val="{EF9C2339-BB14-4D02-8968-00AC4EE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2AF0"/>
    <w:rPr>
      <w:color w:val="0000FF"/>
      <w:u w:val="single"/>
    </w:rPr>
  </w:style>
  <w:style w:type="table" w:styleId="a4">
    <w:name w:val="Table Grid"/>
    <w:basedOn w:val="a1"/>
    <w:uiPriority w:val="39"/>
    <w:rsid w:val="00FF2AF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F2A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lterevit.goro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troi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troika.ru" TargetMode="External"/><Relationship Id="rId11" Type="http://schemas.openxmlformats.org/officeDocument/2006/relationships/hyperlink" Target="http://www.gorodtroika.ru" TargetMode="External"/><Relationship Id="rId5" Type="http://schemas.openxmlformats.org/officeDocument/2006/relationships/hyperlink" Target="http://www.gorodtroika.ru/oferta" TargetMode="External"/><Relationship Id="rId10" Type="http://schemas.openxmlformats.org/officeDocument/2006/relationships/hyperlink" Target="http://www.gorodtroika.ru/ofer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tro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Грязнова</dc:creator>
  <cp:keywords/>
  <dc:description/>
  <cp:lastModifiedBy>Наталья Грязнова</cp:lastModifiedBy>
  <cp:revision>5</cp:revision>
  <dcterms:created xsi:type="dcterms:W3CDTF">2022-07-25T12:15:00Z</dcterms:created>
  <dcterms:modified xsi:type="dcterms:W3CDTF">2022-08-15T08:12:00Z</dcterms:modified>
</cp:coreProperties>
</file>